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3605" w14:textId="0D68B5F3"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</w:t>
      </w:r>
      <w:r w:rsidR="00912790">
        <w:rPr>
          <w:rFonts w:eastAsia="Malgun Gothic"/>
          <w:lang w:eastAsia="ko-KR"/>
        </w:rPr>
        <w:t xml:space="preserve">                         </w:t>
      </w:r>
      <w:r w:rsidR="00244CB4">
        <w:rPr>
          <w:rFonts w:eastAsia="Malgun Gothic"/>
          <w:lang w:eastAsia="ko-KR"/>
        </w:rPr>
        <w:t xml:space="preserve"> </w:t>
      </w:r>
      <w:r w:rsidR="00903363">
        <w:rPr>
          <w:rFonts w:eastAsia="Malgun Gothic"/>
          <w:lang w:eastAsia="ko-KR"/>
        </w:rPr>
        <w:t xml:space="preserve">    </w:t>
      </w:r>
      <w:r w:rsidR="00244CB4" w:rsidRPr="00EC148A">
        <w:t>R2-1</w:t>
      </w:r>
      <w:r w:rsidR="00775FBC">
        <w:t>9</w:t>
      </w:r>
      <w:r w:rsidR="00F1704A">
        <w:t>11</w:t>
      </w:r>
      <w:r w:rsidR="00263921">
        <w:t>838</w:t>
      </w:r>
      <w:bookmarkStart w:id="0" w:name="_GoBack"/>
      <w:bookmarkEnd w:id="0"/>
    </w:p>
    <w:p w14:paraId="56F210B1" w14:textId="2DD93B5C" w:rsidR="00B41645" w:rsidRPr="00B41645" w:rsidRDefault="008A5973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09BC9F6C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8A5973">
        <w:rPr>
          <w:rFonts w:ascii="Arial" w:hAnsi="Arial" w:cs="Arial"/>
        </w:rPr>
        <w:t xml:space="preserve">LS </w:t>
      </w:r>
      <w:r w:rsidR="00F1704A">
        <w:rPr>
          <w:rFonts w:ascii="Arial" w:hAnsi="Arial" w:cs="Arial"/>
        </w:rPr>
        <w:t xml:space="preserve">on ambiguity of UE </w:t>
      </w:r>
      <w:r w:rsidR="0003054C">
        <w:rPr>
          <w:rFonts w:ascii="Arial" w:hAnsi="Arial" w:cs="Arial"/>
        </w:rPr>
        <w:t xml:space="preserve">L1 </w:t>
      </w:r>
      <w:r w:rsidR="00F1704A">
        <w:rPr>
          <w:rFonts w:ascii="Arial" w:hAnsi="Arial" w:cs="Arial"/>
        </w:rPr>
        <w:t>FDD/TDD</w:t>
      </w:r>
      <w:r w:rsidR="007822C8">
        <w:rPr>
          <w:rFonts w:ascii="Arial" w:hAnsi="Arial" w:cs="Arial"/>
        </w:rPr>
        <w:t xml:space="preserve"> FR1/FR2</w:t>
      </w:r>
      <w:r w:rsidR="00F1704A">
        <w:rPr>
          <w:rFonts w:ascii="Arial" w:hAnsi="Arial" w:cs="Arial"/>
        </w:rPr>
        <w:t xml:space="preserve"> capabilities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43CB90B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1BCF96EB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F1704A">
        <w:rPr>
          <w:rFonts w:ascii="Arial" w:hAnsi="Arial" w:cs="Arial"/>
          <w:bCs/>
        </w:rPr>
        <w:t>1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1F2F23F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1C0A3A">
        <w:rPr>
          <w:rFonts w:cs="Arial"/>
        </w:rPr>
        <w:t>Liu Jing</w:t>
      </w:r>
    </w:p>
    <w:p w14:paraId="02E44938" w14:textId="25584C8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3BE44EC7" w14:textId="77777777" w:rsidR="00923E7C" w:rsidRDefault="00923E7C" w:rsidP="009723EA">
      <w:pPr>
        <w:spacing w:after="60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599BD" w14:textId="7B2480B9" w:rsidR="0003054C" w:rsidRDefault="0003054C" w:rsidP="00796E2A">
      <w:pPr>
        <w:rPr>
          <w:rFonts w:ascii="Arial" w:hAnsi="Arial" w:cs="Arial"/>
        </w:rPr>
      </w:pPr>
      <w:r>
        <w:rPr>
          <w:rFonts w:ascii="Arial" w:hAnsi="Arial" w:cs="Arial"/>
        </w:rPr>
        <w:t>Currently, in TS 38.331 and TS 38.306, many UE capabilities are defined with “FDD/TDD diff” and/or “FR1/FR2 diff”, which means the UE may support different functionalities between FDD and TDD, and/or between FR1 and FR2.</w:t>
      </w:r>
    </w:p>
    <w:p w14:paraId="46F7EEDA" w14:textId="77777777" w:rsidR="001C0A3A" w:rsidRDefault="001C0A3A" w:rsidP="00796E2A">
      <w:pPr>
        <w:rPr>
          <w:rFonts w:ascii="Arial" w:hAnsi="Arial" w:cs="Arial"/>
        </w:rPr>
      </w:pPr>
    </w:p>
    <w:p w14:paraId="3AE4A2BC" w14:textId="4D246AA9" w:rsidR="001C0A3A" w:rsidRDefault="0003054C" w:rsidP="00796E2A">
      <w:pPr>
        <w:rPr>
          <w:rFonts w:ascii="Arial" w:hAnsi="Arial" w:cs="Arial"/>
        </w:rPr>
      </w:pPr>
      <w:r>
        <w:rPr>
          <w:rFonts w:ascii="Arial" w:hAnsi="Arial" w:cs="Arial"/>
        </w:rPr>
        <w:t>However, if the UE is configured with CA with mixture of FDD/TDD and/or FR1/FR2 serving cells, an</w:t>
      </w:r>
      <w:r w:rsidR="00654735">
        <w:rPr>
          <w:rFonts w:ascii="Arial" w:hAnsi="Arial" w:cs="Arial"/>
        </w:rPr>
        <w:t>d UE indicates different capability values for FDD/TDD</w:t>
      </w:r>
      <w:r>
        <w:rPr>
          <w:rFonts w:ascii="Arial" w:hAnsi="Arial" w:cs="Arial"/>
        </w:rPr>
        <w:t xml:space="preserve"> </w:t>
      </w:r>
      <w:r w:rsidR="00654735">
        <w:rPr>
          <w:rFonts w:ascii="Arial" w:hAnsi="Arial" w:cs="Arial"/>
        </w:rPr>
        <w:t>and/or FR1/FR2</w:t>
      </w:r>
      <w:r w:rsidR="001C0A3A">
        <w:rPr>
          <w:rFonts w:ascii="Arial" w:hAnsi="Arial" w:cs="Arial"/>
        </w:rPr>
        <w:t>,</w:t>
      </w:r>
      <w:r w:rsidR="00654735">
        <w:rPr>
          <w:rFonts w:ascii="Arial" w:hAnsi="Arial" w:cs="Arial"/>
        </w:rPr>
        <w:t xml:space="preserve"> </w:t>
      </w:r>
      <w:r w:rsidR="001C0A3A">
        <w:rPr>
          <w:rFonts w:ascii="Arial" w:hAnsi="Arial" w:cs="Arial"/>
        </w:rPr>
        <w:t>f</w:t>
      </w:r>
      <w:r w:rsidR="00654735">
        <w:rPr>
          <w:rFonts w:ascii="Arial" w:hAnsi="Arial" w:cs="Arial"/>
        </w:rPr>
        <w:t>or some specific physical layer features (</w:t>
      </w:r>
      <w:r w:rsidR="001C0A3A">
        <w:rPr>
          <w:rFonts w:ascii="Arial" w:hAnsi="Arial" w:cs="Arial"/>
        </w:rPr>
        <w:t xml:space="preserve">as </w:t>
      </w:r>
      <w:r w:rsidR="00263921">
        <w:rPr>
          <w:rFonts w:ascii="Arial" w:hAnsi="Arial" w:cs="Arial"/>
        </w:rPr>
        <w:t>listed</w:t>
      </w:r>
      <w:r w:rsidR="001C0A3A">
        <w:rPr>
          <w:rFonts w:ascii="Arial" w:hAnsi="Arial" w:cs="Arial"/>
        </w:rPr>
        <w:t xml:space="preserve"> below</w:t>
      </w:r>
      <w:r w:rsidR="00654735">
        <w:rPr>
          <w:rFonts w:ascii="Arial" w:hAnsi="Arial" w:cs="Arial"/>
        </w:rPr>
        <w:t>)</w:t>
      </w:r>
      <w:r w:rsidR="001C0A3A">
        <w:rPr>
          <w:rFonts w:ascii="Arial" w:hAnsi="Arial" w:cs="Arial"/>
        </w:rPr>
        <w:t>,</w:t>
      </w:r>
      <w:r w:rsidR="00654735">
        <w:rPr>
          <w:rFonts w:ascii="Arial" w:hAnsi="Arial" w:cs="Arial"/>
        </w:rPr>
        <w:t xml:space="preserve"> </w:t>
      </w:r>
      <w:r w:rsidR="001C0A3A">
        <w:rPr>
          <w:rFonts w:ascii="Arial" w:hAnsi="Arial" w:cs="Arial"/>
        </w:rPr>
        <w:t>i</w:t>
      </w:r>
      <w:r w:rsidR="00654735">
        <w:rPr>
          <w:rFonts w:ascii="Arial" w:hAnsi="Arial" w:cs="Arial"/>
        </w:rPr>
        <w:t xml:space="preserve">t is unclear which serving cell’s capability value should be </w:t>
      </w:r>
      <w:r w:rsidR="001C0A3A">
        <w:rPr>
          <w:rFonts w:ascii="Arial" w:hAnsi="Arial" w:cs="Arial"/>
        </w:rPr>
        <w:t>used</w:t>
      </w:r>
      <w:r w:rsidR="00654735">
        <w:rPr>
          <w:rFonts w:ascii="Arial" w:hAnsi="Arial" w:cs="Arial"/>
        </w:rPr>
        <w:t>.</w:t>
      </w:r>
    </w:p>
    <w:p w14:paraId="05FC1770" w14:textId="0872E5C0" w:rsidR="00654735" w:rsidRDefault="00654735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DDF1D12" w14:textId="034BD1BD" w:rsidR="00654735" w:rsidRDefault="00654735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 far, RAN2 </w:t>
      </w:r>
      <w:r w:rsidR="00974F56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identified following physical layer capabilities may have </w:t>
      </w:r>
      <w:r w:rsidR="001C0A3A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>ambiguity</w:t>
      </w:r>
      <w:r w:rsidR="00263921">
        <w:rPr>
          <w:rFonts w:ascii="Arial" w:hAnsi="Arial" w:cs="Arial"/>
        </w:rPr>
        <w:t>:</w:t>
      </w:r>
    </w:p>
    <w:p w14:paraId="3FB11027" w14:textId="2A04BB75" w:rsidR="00817C68" w:rsidRDefault="00817C68" w:rsidP="00796E2A">
      <w:pPr>
        <w:rPr>
          <w:rFonts w:ascii="Arial" w:hAnsi="Arial" w:cs="Arial"/>
        </w:rPr>
      </w:pPr>
    </w:p>
    <w:p w14:paraId="129840F0" w14:textId="35EB2764" w:rsidR="001C0A3A" w:rsidRPr="00450AFC" w:rsidRDefault="001C0A3A" w:rsidP="00796E2A">
      <w:pPr>
        <w:rPr>
          <w:rFonts w:ascii="Arial" w:hAnsi="Arial" w:cs="Arial"/>
          <w:b/>
          <w:bCs/>
          <w:u w:val="single"/>
        </w:rPr>
      </w:pPr>
      <w:r w:rsidRPr="00450AFC">
        <w:rPr>
          <w:rFonts w:ascii="Arial" w:hAnsi="Arial" w:cs="Arial"/>
          <w:b/>
          <w:bCs/>
          <w:u w:val="single"/>
        </w:rPr>
        <w:t xml:space="preserve">List of capabilities that are </w:t>
      </w:r>
      <w:r w:rsidR="00086764">
        <w:rPr>
          <w:rFonts w:ascii="Arial" w:hAnsi="Arial" w:cs="Arial"/>
          <w:b/>
          <w:bCs/>
          <w:u w:val="single"/>
        </w:rPr>
        <w:t>ambiguous</w:t>
      </w:r>
      <w:r w:rsidRPr="00450AFC">
        <w:rPr>
          <w:rFonts w:ascii="Arial" w:hAnsi="Arial" w:cs="Arial"/>
          <w:b/>
          <w:bCs/>
          <w:u w:val="single"/>
        </w:rPr>
        <w:t xml:space="preserve"> per above: </w:t>
      </w:r>
    </w:p>
    <w:p w14:paraId="49305B67" w14:textId="21784613" w:rsidR="001C0A3A" w:rsidRDefault="00654735" w:rsidP="00F1704A">
      <w:pPr>
        <w:pStyle w:val="ac"/>
        <w:numPr>
          <w:ilvl w:val="0"/>
          <w:numId w:val="18"/>
        </w:num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TPC-PUCCH-RNTI, TPC-PUSCH-RNTI, TPC-SRS-RNTI</w:t>
      </w:r>
    </w:p>
    <w:p w14:paraId="686FFE81" w14:textId="77777777" w:rsidR="00974F56" w:rsidRDefault="00974F56" w:rsidP="00F1704A">
      <w:pPr>
        <w:rPr>
          <w:rFonts w:ascii="Arial" w:hAnsi="Arial" w:cs="Arial"/>
        </w:rPr>
      </w:pPr>
    </w:p>
    <w:p w14:paraId="2241ABCF" w14:textId="6962EFD4" w:rsidR="00654735" w:rsidRDefault="00654735" w:rsidP="00654735">
      <w:pPr>
        <w:pStyle w:val="ac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absoluteTPC-Command</w:t>
      </w:r>
    </w:p>
    <w:p w14:paraId="6FC190CC" w14:textId="77777777" w:rsidR="00974F56" w:rsidRDefault="00974F56" w:rsidP="00654735">
      <w:pPr>
        <w:rPr>
          <w:rFonts w:ascii="Arial" w:hAnsi="Arial" w:cs="Arial"/>
        </w:rPr>
      </w:pPr>
    </w:p>
    <w:p w14:paraId="2EA6B515" w14:textId="5D6D6008" w:rsidR="00654735" w:rsidRDefault="00654735" w:rsidP="00654735">
      <w:pPr>
        <w:pStyle w:val="ac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twoDifferentTPC-Loop-PUCCH, twoDifferentTPC-Loop-PUCCH</w:t>
      </w:r>
    </w:p>
    <w:p w14:paraId="6FDCDC9D" w14:textId="77777777" w:rsidR="00974F56" w:rsidRDefault="00974F56" w:rsidP="00654735">
      <w:pPr>
        <w:rPr>
          <w:rFonts w:ascii="Arial" w:hAnsi="Arial" w:cs="Arial"/>
        </w:rPr>
      </w:pPr>
    </w:p>
    <w:p w14:paraId="2859BE1C" w14:textId="66BD4156" w:rsidR="00974F56" w:rsidRDefault="00974F56" w:rsidP="00974F56">
      <w:pPr>
        <w:pStyle w:val="ac"/>
        <w:numPr>
          <w:ilvl w:val="0"/>
          <w:numId w:val="18"/>
        </w:numPr>
        <w:rPr>
          <w:rFonts w:ascii="Arial" w:hAnsi="Arial" w:cs="Arial"/>
        </w:rPr>
      </w:pPr>
      <w:r w:rsidRPr="00F1704A">
        <w:rPr>
          <w:rFonts w:ascii="Arial" w:hAnsi="Arial" w:cs="Arial"/>
        </w:rPr>
        <w:t>dl-Scheduli</w:t>
      </w:r>
      <w:r>
        <w:rPr>
          <w:rFonts w:ascii="Arial" w:hAnsi="Arial" w:cs="Arial"/>
        </w:rPr>
        <w:t xml:space="preserve">ngOffset-PDSCH-TypeA, </w:t>
      </w:r>
      <w:r w:rsidRPr="00F1704A">
        <w:rPr>
          <w:rFonts w:ascii="Arial" w:hAnsi="Arial" w:cs="Arial"/>
        </w:rPr>
        <w:t>dl-Sche</w:t>
      </w:r>
      <w:r>
        <w:rPr>
          <w:rFonts w:ascii="Arial" w:hAnsi="Arial" w:cs="Arial"/>
        </w:rPr>
        <w:t xml:space="preserve">dulingOffset-PDSCH-TypeB, </w:t>
      </w:r>
      <w:r w:rsidRPr="00F1704A">
        <w:rPr>
          <w:rFonts w:ascii="Arial" w:hAnsi="Arial" w:cs="Arial"/>
        </w:rPr>
        <w:t>ul-SchedulingOffset</w:t>
      </w:r>
    </w:p>
    <w:p w14:paraId="6F1DBA59" w14:textId="77777777" w:rsidR="00891C8C" w:rsidRDefault="00891C8C" w:rsidP="00796E2A">
      <w:pPr>
        <w:rPr>
          <w:rFonts w:ascii="Arial" w:hAnsi="Arial" w:cs="Arial"/>
        </w:rPr>
      </w:pPr>
    </w:p>
    <w:p w14:paraId="50FD83C0" w14:textId="77777777" w:rsidR="00974F56" w:rsidRDefault="00974F56" w:rsidP="00796E2A">
      <w:pPr>
        <w:rPr>
          <w:rFonts w:ascii="Arial" w:hAnsi="Arial" w:cs="Arial"/>
        </w:rPr>
      </w:pPr>
    </w:p>
    <w:p w14:paraId="353AD3A1" w14:textId="107FC2FA" w:rsidR="00C66964" w:rsidRDefault="00891C8C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know </w:t>
      </w:r>
      <w:r w:rsidR="00263921">
        <w:rPr>
          <w:rFonts w:ascii="Arial" w:hAnsi="Arial" w:cs="Arial"/>
        </w:rPr>
        <w:t>for above UE capabilities, which cell or cells the FDD/TDD and/or FR1/FR2 differentiation applies</w:t>
      </w:r>
      <w:r w:rsidR="00C66964">
        <w:rPr>
          <w:rFonts w:ascii="Arial" w:hAnsi="Arial" w:cs="Arial"/>
        </w:rPr>
        <w:t xml:space="preserve">. </w:t>
      </w:r>
    </w:p>
    <w:p w14:paraId="16877423" w14:textId="77777777" w:rsidR="00C66964" w:rsidRDefault="00C66964" w:rsidP="00796E2A">
      <w:pPr>
        <w:rPr>
          <w:rFonts w:ascii="Arial" w:hAnsi="Arial" w:cs="Arial"/>
        </w:rPr>
      </w:pPr>
    </w:p>
    <w:p w14:paraId="4D897D73" w14:textId="1E88B0B1" w:rsidR="00817C68" w:rsidRDefault="00C66964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know if RAN1 is aware of any </w:t>
      </w:r>
      <w:r w:rsidR="00974F56">
        <w:rPr>
          <w:rFonts w:ascii="Arial" w:hAnsi="Arial" w:cs="Arial"/>
        </w:rPr>
        <w:t xml:space="preserve">other physical layer capabilities </w:t>
      </w:r>
      <w:r>
        <w:rPr>
          <w:rFonts w:ascii="Arial" w:hAnsi="Arial" w:cs="Arial"/>
        </w:rPr>
        <w:t>that are subject to the above ambiguity and if so, how those capabilities should be interpreted by the network</w:t>
      </w:r>
      <w:r w:rsidR="00974F56">
        <w:rPr>
          <w:rFonts w:ascii="Arial" w:hAnsi="Arial" w:cs="Arial"/>
        </w:rPr>
        <w:t>.</w:t>
      </w:r>
      <w:r w:rsidR="00891C8C">
        <w:rPr>
          <w:rFonts w:ascii="Arial" w:hAnsi="Arial" w:cs="Arial"/>
        </w:rPr>
        <w:t xml:space="preserve"> </w:t>
      </w:r>
    </w:p>
    <w:p w14:paraId="6C27D73B" w14:textId="250CD350" w:rsidR="00EC148A" w:rsidRDefault="00FC5922" w:rsidP="008B0288">
      <w:r>
        <w:rPr>
          <w:rFonts w:ascii="Arial" w:hAnsi="Arial" w:cs="Arial"/>
        </w:rPr>
        <w:t xml:space="preserve"> </w:t>
      </w:r>
    </w:p>
    <w:p w14:paraId="7CBC62EC" w14:textId="77777777" w:rsidR="00796E2A" w:rsidRDefault="00796E2A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223D4658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670DC9">
        <w:rPr>
          <w:rFonts w:ascii="Arial" w:hAnsi="Arial" w:cs="Arial"/>
          <w:b/>
        </w:rPr>
        <w:t>4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1067AAF8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C66964">
        <w:rPr>
          <w:rFonts w:ascii="Arial" w:hAnsi="Arial" w:cs="Arial"/>
          <w:b/>
        </w:rPr>
        <w:t xml:space="preserve">RAN2 respectfully asks RAN1 to answer the following questions: </w:t>
      </w:r>
    </w:p>
    <w:p w14:paraId="02A3FC55" w14:textId="3103BBFF" w:rsidR="00086764" w:rsidRDefault="00086764" w:rsidP="000867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263921">
        <w:rPr>
          <w:rFonts w:ascii="Arial" w:hAnsi="Arial" w:cs="Arial"/>
        </w:rPr>
        <w:t>Regarding the listed UE capabilities, which cell or cells the FDD/TDD and/or FR1/FR2 differentiation applies?</w:t>
      </w:r>
    </w:p>
    <w:p w14:paraId="1C4C4A4A" w14:textId="73150D42" w:rsidR="00086764" w:rsidRDefault="00086764" w:rsidP="000867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Q2: </w:t>
      </w:r>
      <w:r w:rsidR="006F721F">
        <w:rPr>
          <w:rFonts w:ascii="Arial" w:hAnsi="Arial" w:cs="Arial"/>
        </w:rPr>
        <w:t>Are there any other physical layer capabilities that are subject to the above ambiguity and if so, how should the network interpret those capabilities</w:t>
      </w:r>
      <w:r>
        <w:rPr>
          <w:rFonts w:ascii="Arial" w:hAnsi="Arial" w:cs="Arial"/>
        </w:rPr>
        <w:t>?</w:t>
      </w:r>
    </w:p>
    <w:p w14:paraId="04CF704C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2513C597" w14:textId="4F0A1B91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14:paraId="4D8CCB61" w14:textId="4A484891"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lastRenderedPageBreak/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14:paraId="60450AFA" w14:textId="37F6BDD1"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73DF82" w16cid:durableId="211229F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28F71" w14:textId="77777777" w:rsidR="00873704" w:rsidRDefault="00873704">
      <w:r>
        <w:separator/>
      </w:r>
    </w:p>
  </w:endnote>
  <w:endnote w:type="continuationSeparator" w:id="0">
    <w:p w14:paraId="222983D1" w14:textId="77777777" w:rsidR="00873704" w:rsidRDefault="0087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EFD64" w14:textId="77777777" w:rsidR="00873704" w:rsidRDefault="00873704">
      <w:r>
        <w:separator/>
      </w:r>
    </w:p>
  </w:footnote>
  <w:footnote w:type="continuationSeparator" w:id="0">
    <w:p w14:paraId="4C01A64B" w14:textId="77777777" w:rsidR="00873704" w:rsidRDefault="00873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4DE6A70"/>
    <w:multiLevelType w:val="hybridMultilevel"/>
    <w:tmpl w:val="267E024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>
    <w:nsid w:val="59C100E4"/>
    <w:multiLevelType w:val="hybridMultilevel"/>
    <w:tmpl w:val="97CAB900"/>
    <w:lvl w:ilvl="0" w:tplc="452CFD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9"/>
  </w:num>
  <w:num w:numId="4">
    <w:abstractNumId w:val="5"/>
  </w:num>
  <w:num w:numId="5">
    <w:abstractNumId w:val="13"/>
  </w:num>
  <w:num w:numId="6">
    <w:abstractNumId w:val="1"/>
  </w:num>
  <w:num w:numId="7">
    <w:abstractNumId w:val="18"/>
  </w:num>
  <w:num w:numId="8">
    <w:abstractNumId w:val="6"/>
  </w:num>
  <w:num w:numId="9">
    <w:abstractNumId w:val="10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8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7791"/>
    <w:rsid w:val="00022D74"/>
    <w:rsid w:val="00026ACD"/>
    <w:rsid w:val="0003054C"/>
    <w:rsid w:val="00063C34"/>
    <w:rsid w:val="00071A6F"/>
    <w:rsid w:val="00072CC3"/>
    <w:rsid w:val="00073015"/>
    <w:rsid w:val="00086764"/>
    <w:rsid w:val="00096D6C"/>
    <w:rsid w:val="000B1B3D"/>
    <w:rsid w:val="000F41BC"/>
    <w:rsid w:val="001016BE"/>
    <w:rsid w:val="00142FBF"/>
    <w:rsid w:val="00163F67"/>
    <w:rsid w:val="0017019B"/>
    <w:rsid w:val="00173B8D"/>
    <w:rsid w:val="00182C2E"/>
    <w:rsid w:val="001C0A3A"/>
    <w:rsid w:val="001D5236"/>
    <w:rsid w:val="001D5767"/>
    <w:rsid w:val="001D72CE"/>
    <w:rsid w:val="001F1ACE"/>
    <w:rsid w:val="002041B8"/>
    <w:rsid w:val="00244CB4"/>
    <w:rsid w:val="00256187"/>
    <w:rsid w:val="00263921"/>
    <w:rsid w:val="0027460E"/>
    <w:rsid w:val="00281114"/>
    <w:rsid w:val="002942D7"/>
    <w:rsid w:val="002B026F"/>
    <w:rsid w:val="002D5061"/>
    <w:rsid w:val="002F0707"/>
    <w:rsid w:val="002F6571"/>
    <w:rsid w:val="00310055"/>
    <w:rsid w:val="00312DB6"/>
    <w:rsid w:val="00343CC8"/>
    <w:rsid w:val="003471DC"/>
    <w:rsid w:val="003D02C1"/>
    <w:rsid w:val="003D4921"/>
    <w:rsid w:val="003D7749"/>
    <w:rsid w:val="003F12C6"/>
    <w:rsid w:val="003F3D12"/>
    <w:rsid w:val="00410899"/>
    <w:rsid w:val="00421AFD"/>
    <w:rsid w:val="0043085E"/>
    <w:rsid w:val="00450AFC"/>
    <w:rsid w:val="00463675"/>
    <w:rsid w:val="0047690D"/>
    <w:rsid w:val="00481B5F"/>
    <w:rsid w:val="004A432D"/>
    <w:rsid w:val="004A69E0"/>
    <w:rsid w:val="004B3B0C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54735"/>
    <w:rsid w:val="00670DC9"/>
    <w:rsid w:val="006755EE"/>
    <w:rsid w:val="0068680A"/>
    <w:rsid w:val="006A41C2"/>
    <w:rsid w:val="006E2A8B"/>
    <w:rsid w:val="006F342E"/>
    <w:rsid w:val="006F4450"/>
    <w:rsid w:val="006F721F"/>
    <w:rsid w:val="00700621"/>
    <w:rsid w:val="00701FAA"/>
    <w:rsid w:val="00736C61"/>
    <w:rsid w:val="00752F8A"/>
    <w:rsid w:val="00762C83"/>
    <w:rsid w:val="00765A5B"/>
    <w:rsid w:val="0077570E"/>
    <w:rsid w:val="00775FBC"/>
    <w:rsid w:val="007822C8"/>
    <w:rsid w:val="00796E2A"/>
    <w:rsid w:val="007971F0"/>
    <w:rsid w:val="007A27C9"/>
    <w:rsid w:val="007A654F"/>
    <w:rsid w:val="007F048D"/>
    <w:rsid w:val="007F101C"/>
    <w:rsid w:val="007F7808"/>
    <w:rsid w:val="00817C68"/>
    <w:rsid w:val="00831AD4"/>
    <w:rsid w:val="00863221"/>
    <w:rsid w:val="00865A45"/>
    <w:rsid w:val="00873704"/>
    <w:rsid w:val="00883FDA"/>
    <w:rsid w:val="00891C8C"/>
    <w:rsid w:val="00891D43"/>
    <w:rsid w:val="008A5973"/>
    <w:rsid w:val="008B0288"/>
    <w:rsid w:val="008C22C0"/>
    <w:rsid w:val="008C6570"/>
    <w:rsid w:val="008D5BF1"/>
    <w:rsid w:val="00903363"/>
    <w:rsid w:val="0090626D"/>
    <w:rsid w:val="00912790"/>
    <w:rsid w:val="00923E7C"/>
    <w:rsid w:val="00957E0E"/>
    <w:rsid w:val="00966EDC"/>
    <w:rsid w:val="009723EA"/>
    <w:rsid w:val="00974F56"/>
    <w:rsid w:val="009933D5"/>
    <w:rsid w:val="00996D80"/>
    <w:rsid w:val="009A3264"/>
    <w:rsid w:val="009A7C19"/>
    <w:rsid w:val="009B5958"/>
    <w:rsid w:val="009D499B"/>
    <w:rsid w:val="00A357F3"/>
    <w:rsid w:val="00A474A0"/>
    <w:rsid w:val="00A66DA4"/>
    <w:rsid w:val="00A92B16"/>
    <w:rsid w:val="00AA4599"/>
    <w:rsid w:val="00AA64F4"/>
    <w:rsid w:val="00AB42E7"/>
    <w:rsid w:val="00AF5B6F"/>
    <w:rsid w:val="00B01437"/>
    <w:rsid w:val="00B03F11"/>
    <w:rsid w:val="00B3737D"/>
    <w:rsid w:val="00B41645"/>
    <w:rsid w:val="00B471ED"/>
    <w:rsid w:val="00B506D0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66964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C029A"/>
    <w:rsid w:val="00DE7180"/>
    <w:rsid w:val="00E814B4"/>
    <w:rsid w:val="00EA24E5"/>
    <w:rsid w:val="00EC148A"/>
    <w:rsid w:val="00EC670E"/>
    <w:rsid w:val="00EF0E5D"/>
    <w:rsid w:val="00F00CC0"/>
    <w:rsid w:val="00F041E2"/>
    <w:rsid w:val="00F0781E"/>
    <w:rsid w:val="00F1704A"/>
    <w:rsid w:val="00F35721"/>
    <w:rsid w:val="00F377E8"/>
    <w:rsid w:val="00F526DA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table" w:styleId="ae">
    <w:name w:val="Table Grid"/>
    <w:basedOn w:val="a1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ZTE</cp:lastModifiedBy>
  <cp:revision>28</cp:revision>
  <dcterms:created xsi:type="dcterms:W3CDTF">2018-11-15T19:21:00Z</dcterms:created>
  <dcterms:modified xsi:type="dcterms:W3CDTF">2019-08-30T12:19:00Z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